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2018" w14:textId="77777777" w:rsidR="00EF4F69" w:rsidRPr="007246C4" w:rsidRDefault="00EF4F69" w:rsidP="00EF4F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46C4">
        <w:rPr>
          <w:rFonts w:ascii="Arial" w:hAnsi="Arial" w:cs="Arial"/>
          <w:b/>
          <w:bCs/>
          <w:sz w:val="20"/>
          <w:szCs w:val="20"/>
        </w:rPr>
        <w:t>Program szkolenia</w:t>
      </w:r>
    </w:p>
    <w:p w14:paraId="7C9EE9F1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Czytanie planów ogólnych gmin na portalach – interpretacja zapisów stref planistycznych oraz profili funkcjonalnych (warsztaty).</w:t>
      </w:r>
    </w:p>
    <w:p w14:paraId="7781CFB6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Aktualne definicje w planowaniu przestrzennym i ich uwzględnianie w operatach szacunkowych.</w:t>
      </w:r>
    </w:p>
    <w:p w14:paraId="4A0A8169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Zapisy planów ogólnych gmin dla poszczególnych stref planistycznych oraz ich wpływ na wartość nieruchomości.</w:t>
      </w:r>
    </w:p>
    <w:p w14:paraId="10138292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Art. 154 ustawy o gospodarce nieruchomościami a miejscowe plany zagospodarowania przestrzennego, decyzje o warunkach zabudowy, studium oraz plany ogólne gmin – wpływ na inwestycyjność nieruchomości.</w:t>
      </w:r>
    </w:p>
    <w:p w14:paraId="5784E451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Profile funkcjonalne podstawowe i dodatkowe w planach ogólnych.</w:t>
      </w:r>
    </w:p>
    <w:p w14:paraId="2037E9FE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Obszar uzupełnienia zabudowy w planie ogólnym – zasady jego tworzenia oraz wpływ na potencjalną inwestycyjność nieruchomości.</w:t>
      </w:r>
    </w:p>
    <w:p w14:paraId="1C1884B3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Obowiązek inwentaryzacji budynków wynikający z ustawy – Prawo budowlane a obszar uzupełnienia zabudowy – zmiany obowiązujące od 7 stycznia 2026 r.</w:t>
      </w:r>
    </w:p>
    <w:p w14:paraId="73A78F2E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Skutki niepełnej ewidencji budynków dla inwestycyjności nieruchomości.</w:t>
      </w:r>
    </w:p>
    <w:p w14:paraId="7E2CD4D6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Decyzje o warunkach zabudowy i zagospodarowania terenu – trwałość decyzji w zależności od daty złożenia wniosku i uprawomocnienia (przed 16.10.2025 r., przed 1.01.2026 r. oraz przed i po wejściu w życie planu ogólnego).</w:t>
      </w:r>
    </w:p>
    <w:p w14:paraId="18EE2322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Zintegrowane plany inwestycyjne – czym są, jak powstają i jaki mają wpływ na wartość nieruchomości.</w:t>
      </w:r>
    </w:p>
    <w:p w14:paraId="02C69FE7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Operat szacunkowy a różne okresy przejściowe – problemy praktyczne (data sporządzenia operatu, wejście w życie planu ogólnego).</w:t>
      </w:r>
    </w:p>
    <w:p w14:paraId="18F11E83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 xml:space="preserve">Nowości na </w:t>
      </w:r>
      <w:proofErr w:type="spellStart"/>
      <w:r w:rsidRPr="007246C4">
        <w:rPr>
          <w:rFonts w:ascii="Arial" w:hAnsi="Arial" w:cs="Arial"/>
          <w:sz w:val="20"/>
          <w:szCs w:val="20"/>
        </w:rPr>
        <w:t>geoportalach</w:t>
      </w:r>
      <w:proofErr w:type="spellEnd"/>
      <w:r w:rsidRPr="007246C4">
        <w:rPr>
          <w:rFonts w:ascii="Arial" w:hAnsi="Arial" w:cs="Arial"/>
          <w:sz w:val="20"/>
          <w:szCs w:val="20"/>
        </w:rPr>
        <w:t xml:space="preserve"> w zakresie oceny inwestycyjności nieruchomości.</w:t>
      </w:r>
    </w:p>
    <w:p w14:paraId="752C46E7" w14:textId="77777777" w:rsidR="00EF4F69" w:rsidRPr="007246C4" w:rsidRDefault="00EF4F69" w:rsidP="00EF4F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46C4">
        <w:rPr>
          <w:rFonts w:ascii="Arial" w:hAnsi="Arial" w:cs="Arial"/>
          <w:sz w:val="20"/>
          <w:szCs w:val="20"/>
        </w:rPr>
        <w:t>Uwolniony rejestr cen nieruchomości – zasady udostępniania.</w:t>
      </w:r>
    </w:p>
    <w:p w14:paraId="0F208AE3" w14:textId="3EA90F6B" w:rsidR="00EF4F69" w:rsidRDefault="00EF4F69" w:rsidP="00EF4F69">
      <w:r>
        <w:rPr>
          <w:rFonts w:ascii="Arial" w:hAnsi="Arial" w:cs="Arial"/>
          <w:sz w:val="20"/>
          <w:szCs w:val="20"/>
        </w:rPr>
        <w:pict w14:anchorId="71A9E410">
          <v:rect id="_x0000_i1025" style="width:0;height:1.5pt" o:hralign="center" o:hrstd="t" o:hr="t" fillcolor="#a0a0a0" stroked="f"/>
        </w:pict>
      </w:r>
    </w:p>
    <w:sectPr w:rsidR="00EF4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F12A8"/>
    <w:multiLevelType w:val="multilevel"/>
    <w:tmpl w:val="DB0C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57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69"/>
    <w:rsid w:val="00D44191"/>
    <w:rsid w:val="00E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2937"/>
  <w15:chartTrackingRefBased/>
  <w15:docId w15:val="{33870C71-1BE4-4DE7-B73F-239BC306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F6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F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F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F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F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F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F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4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4F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F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4F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F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Kredoszyńska</dc:creator>
  <cp:keywords/>
  <dc:description/>
  <cp:lastModifiedBy>Małgorzata Kredoszyńska</cp:lastModifiedBy>
  <cp:revision>1</cp:revision>
  <dcterms:created xsi:type="dcterms:W3CDTF">2026-02-10T12:10:00Z</dcterms:created>
  <dcterms:modified xsi:type="dcterms:W3CDTF">2026-02-10T12:11:00Z</dcterms:modified>
</cp:coreProperties>
</file>