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638C1" w:rsidRPr="009638C1" w14:paraId="3C9D7DF5" w14:textId="77777777" w:rsidTr="009638C1">
        <w:trPr>
          <w:trHeight w:val="567"/>
        </w:trPr>
        <w:tc>
          <w:tcPr>
            <w:tcW w:w="9062" w:type="dxa"/>
            <w:gridSpan w:val="2"/>
            <w:shd w:val="clear" w:color="auto" w:fill="83CAEB" w:themeFill="accent1" w:themeFillTint="66"/>
            <w:vAlign w:val="center"/>
          </w:tcPr>
          <w:p w14:paraId="1336E936" w14:textId="6FC8EA0D" w:rsidR="009638C1" w:rsidRPr="009638C1" w:rsidRDefault="009638C1" w:rsidP="009638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0738">
              <w:rPr>
                <w:rFonts w:ascii="Arial" w:hAnsi="Arial" w:cs="Arial"/>
                <w:b/>
                <w:bCs/>
                <w:sz w:val="28"/>
                <w:szCs w:val="28"/>
              </w:rPr>
              <w:t>„SPECYFIKA WYCENY NIERUCHOMOŚCI ROLNYCH”</w:t>
            </w:r>
          </w:p>
        </w:tc>
      </w:tr>
      <w:tr w:rsidR="00407159" w14:paraId="1EB4E83B" w14:textId="77777777" w:rsidTr="00A15151">
        <w:trPr>
          <w:trHeight w:val="567"/>
        </w:trPr>
        <w:tc>
          <w:tcPr>
            <w:tcW w:w="421" w:type="dxa"/>
            <w:shd w:val="clear" w:color="auto" w:fill="0F4761" w:themeFill="accent1" w:themeFillShade="BF"/>
            <w:vAlign w:val="center"/>
          </w:tcPr>
          <w:p w14:paraId="48AC6C52" w14:textId="77777777" w:rsidR="00407159" w:rsidRDefault="00407159" w:rsidP="00A151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641" w:type="dxa"/>
            <w:shd w:val="clear" w:color="auto" w:fill="0F4761" w:themeFill="accent1" w:themeFillShade="BF"/>
            <w:vAlign w:val="center"/>
          </w:tcPr>
          <w:p w14:paraId="19C46720" w14:textId="77777777" w:rsidR="00407159" w:rsidRDefault="00407159" w:rsidP="00A151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PRAWNE I METODOLOGICZNE</w:t>
            </w:r>
          </w:p>
        </w:tc>
      </w:tr>
      <w:tr w:rsidR="007E29A9" w14:paraId="6AC12194" w14:textId="77777777" w:rsidTr="00CF5578">
        <w:trPr>
          <w:trHeight w:val="567"/>
        </w:trPr>
        <w:tc>
          <w:tcPr>
            <w:tcW w:w="421" w:type="dxa"/>
            <w:shd w:val="clear" w:color="auto" w:fill="0F4761" w:themeFill="accent1" w:themeFillShade="BF"/>
            <w:vAlign w:val="center"/>
          </w:tcPr>
          <w:p w14:paraId="00F5E278" w14:textId="72D8DCE1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641" w:type="dxa"/>
            <w:shd w:val="clear" w:color="auto" w:fill="0F4761" w:themeFill="accent1" w:themeFillShade="BF"/>
            <w:vAlign w:val="center"/>
          </w:tcPr>
          <w:p w14:paraId="73FDCD7D" w14:textId="0F4AFB2B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PODSTAWOWE DEFINICJE I POJĘCIA DOTYCZĄCE PRZESTRZENI ROLNEJ</w:t>
            </w:r>
          </w:p>
        </w:tc>
      </w:tr>
      <w:tr w:rsidR="00CF5578" w14:paraId="155F7438" w14:textId="77777777" w:rsidTr="006F0294">
        <w:tc>
          <w:tcPr>
            <w:tcW w:w="9062" w:type="dxa"/>
            <w:gridSpan w:val="2"/>
          </w:tcPr>
          <w:p w14:paraId="167AEB95" w14:textId="61B93517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 xml:space="preserve">nieruchomość rolna </w:t>
            </w:r>
          </w:p>
          <w:p w14:paraId="04AC71B3" w14:textId="76B29B66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gospodarstwo rolne</w:t>
            </w:r>
          </w:p>
          <w:p w14:paraId="669286D7" w14:textId="1FB503A5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grunt rolny</w:t>
            </w:r>
          </w:p>
          <w:p w14:paraId="1E4BC365" w14:textId="4ED1A528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użytek rolny</w:t>
            </w:r>
          </w:p>
          <w:p w14:paraId="5B93B2A3" w14:textId="04FB6A52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wskaźnik bonitacji</w:t>
            </w:r>
          </w:p>
          <w:p w14:paraId="4C38F2DA" w14:textId="45A06288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kompleksy przydatności rolniczej,</w:t>
            </w:r>
          </w:p>
          <w:p w14:paraId="3FC974A7" w14:textId="1409BC64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ugór,</w:t>
            </w:r>
          </w:p>
          <w:p w14:paraId="2E8D143E" w14:textId="432B76E6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odłóg,</w:t>
            </w:r>
          </w:p>
          <w:p w14:paraId="356240DF" w14:textId="303C18D8" w:rsidR="00CF5578" w:rsidRPr="007E29A9" w:rsidRDefault="00CF5578" w:rsidP="007E29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inne.</w:t>
            </w:r>
          </w:p>
        </w:tc>
      </w:tr>
      <w:tr w:rsidR="007E29A9" w14:paraId="3C5596D8" w14:textId="77777777" w:rsidTr="00CF5578">
        <w:trPr>
          <w:trHeight w:val="567"/>
        </w:trPr>
        <w:tc>
          <w:tcPr>
            <w:tcW w:w="421" w:type="dxa"/>
            <w:shd w:val="clear" w:color="auto" w:fill="0F4761" w:themeFill="accent1" w:themeFillShade="BF"/>
            <w:vAlign w:val="center"/>
          </w:tcPr>
          <w:p w14:paraId="09FA4D95" w14:textId="39890B82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641" w:type="dxa"/>
            <w:shd w:val="clear" w:color="auto" w:fill="0F4761" w:themeFill="accent1" w:themeFillShade="BF"/>
            <w:vAlign w:val="center"/>
          </w:tcPr>
          <w:p w14:paraId="627EFA4F" w14:textId="17A8595D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ŹRÓDŁA INFORMACJI PRZY WYCENIE NIERUCHOMOŚCI ROLNYCH</w:t>
            </w:r>
          </w:p>
        </w:tc>
      </w:tr>
      <w:tr w:rsidR="00CF5578" w14:paraId="5F5B7F3E" w14:textId="77777777" w:rsidTr="00CF5578">
        <w:trPr>
          <w:trHeight w:val="454"/>
        </w:trPr>
        <w:tc>
          <w:tcPr>
            <w:tcW w:w="9062" w:type="dxa"/>
            <w:gridSpan w:val="2"/>
            <w:vAlign w:val="center"/>
          </w:tcPr>
          <w:p w14:paraId="29D80599" w14:textId="3C4CE1A2" w:rsidR="00CF5578" w:rsidRDefault="00CF5578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Literatura,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6F9F">
              <w:rPr>
                <w:rFonts w:ascii="Arial" w:hAnsi="Arial" w:cs="Arial"/>
                <w:sz w:val="20"/>
                <w:szCs w:val="20"/>
              </w:rPr>
              <w:t>publikacje specjalistyczn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7E29A9" w14:paraId="1EE65195" w14:textId="77777777" w:rsidTr="00CF5578">
        <w:trPr>
          <w:trHeight w:val="567"/>
        </w:trPr>
        <w:tc>
          <w:tcPr>
            <w:tcW w:w="421" w:type="dxa"/>
            <w:shd w:val="clear" w:color="auto" w:fill="0F4761" w:themeFill="accent1" w:themeFillShade="BF"/>
            <w:vAlign w:val="center"/>
          </w:tcPr>
          <w:p w14:paraId="542D645C" w14:textId="713FDF1A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641" w:type="dxa"/>
            <w:shd w:val="clear" w:color="auto" w:fill="0F4761" w:themeFill="accent1" w:themeFillShade="BF"/>
            <w:vAlign w:val="center"/>
          </w:tcPr>
          <w:p w14:paraId="6C6FFA68" w14:textId="57099614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RODZAJE NIERUCHOMOŚCI ROLNYCH</w:t>
            </w:r>
          </w:p>
        </w:tc>
      </w:tr>
      <w:tr w:rsidR="00CF5578" w14:paraId="50843388" w14:textId="77777777" w:rsidTr="00DA6A84">
        <w:tc>
          <w:tcPr>
            <w:tcW w:w="9062" w:type="dxa"/>
            <w:gridSpan w:val="2"/>
          </w:tcPr>
          <w:p w14:paraId="6A7793D3" w14:textId="77777777" w:rsidR="00CF5578" w:rsidRDefault="00CF5578" w:rsidP="007E29A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E29A9">
              <w:rPr>
                <w:rFonts w:ascii="Arial" w:hAnsi="Arial" w:cs="Arial"/>
                <w:sz w:val="20"/>
                <w:szCs w:val="20"/>
              </w:rPr>
              <w:t xml:space="preserve">ieruchomości niezabudowane i nieprzeznaczone pod zabudowę, </w:t>
            </w:r>
          </w:p>
          <w:p w14:paraId="246BE950" w14:textId="77777777" w:rsidR="00CF5578" w:rsidRDefault="00CF5578" w:rsidP="007E29A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 xml:space="preserve">nieruchomości rolne zabudowane i przeznaczone pod zabudowę, </w:t>
            </w:r>
          </w:p>
          <w:p w14:paraId="24E3C188" w14:textId="5AE268A5" w:rsidR="00CF5578" w:rsidRPr="007E29A9" w:rsidRDefault="00CF5578" w:rsidP="007E29A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nieruchomości gruntowe z plantacjami kultur wieloletnich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7E29A9" w14:paraId="785A8260" w14:textId="77777777" w:rsidTr="00CF5578">
        <w:trPr>
          <w:trHeight w:val="567"/>
        </w:trPr>
        <w:tc>
          <w:tcPr>
            <w:tcW w:w="421" w:type="dxa"/>
            <w:shd w:val="clear" w:color="auto" w:fill="0F4761" w:themeFill="accent1" w:themeFillShade="BF"/>
            <w:vAlign w:val="center"/>
          </w:tcPr>
          <w:p w14:paraId="743EEB03" w14:textId="26CA1259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641" w:type="dxa"/>
            <w:shd w:val="clear" w:color="auto" w:fill="0F4761" w:themeFill="accent1" w:themeFillShade="BF"/>
            <w:vAlign w:val="center"/>
          </w:tcPr>
          <w:p w14:paraId="2CCABA51" w14:textId="75C3621A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CECHY NIERUCHOMOŚCI ROLNYCH</w:t>
            </w:r>
          </w:p>
        </w:tc>
      </w:tr>
      <w:tr w:rsidR="00CF5578" w14:paraId="4D063BA4" w14:textId="77777777" w:rsidTr="00DC029D">
        <w:tc>
          <w:tcPr>
            <w:tcW w:w="9062" w:type="dxa"/>
            <w:gridSpan w:val="2"/>
          </w:tcPr>
          <w:p w14:paraId="4BC36AB4" w14:textId="3E543B7A" w:rsidR="00CF5578" w:rsidRDefault="00CF5578" w:rsidP="007E29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rodzaj użytku gruntowego, klasa bonitacyjna, lokalizacja, sąsiedztwo i otoczenie, dogodność dojazdu, rozłóg, struktura przestrzenna użytków gruntowych, kultura rolna, kształt działki, ukształtowanie ternu, warunki wodne, trudność uprawy, występowanie zanieczyszczeń środowiska, występowanie urządzeń melioracyjnych oraz infrastruktury utrudniającej agrotechnikę,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67C0C5" w14:textId="77777777" w:rsidR="00CF5578" w:rsidRDefault="00CF5578" w:rsidP="007E29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>omówienie cech na przykładzie konkretnych nieruchomości rolnych,</w:t>
            </w:r>
          </w:p>
          <w:p w14:paraId="7846BE7A" w14:textId="5D402211" w:rsidR="00CF5578" w:rsidRPr="007E29A9" w:rsidRDefault="00CF5578" w:rsidP="007E29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A9">
              <w:rPr>
                <w:rFonts w:ascii="Arial" w:hAnsi="Arial" w:cs="Arial"/>
                <w:sz w:val="20"/>
                <w:szCs w:val="20"/>
              </w:rPr>
              <w:t xml:space="preserve">obliczanie wskaźnika bonitacji dla konkretnych nieruchomości (w tym z dużą ilością różnych rodzajów użytków) </w:t>
            </w:r>
          </w:p>
        </w:tc>
      </w:tr>
      <w:tr w:rsidR="007E29A9" w14:paraId="27DEB66C" w14:textId="77777777" w:rsidTr="00CF5578">
        <w:trPr>
          <w:trHeight w:val="567"/>
        </w:trPr>
        <w:tc>
          <w:tcPr>
            <w:tcW w:w="421" w:type="dxa"/>
            <w:shd w:val="clear" w:color="auto" w:fill="0F4761" w:themeFill="accent1" w:themeFillShade="BF"/>
            <w:vAlign w:val="center"/>
          </w:tcPr>
          <w:p w14:paraId="3C9A270F" w14:textId="2014AF9C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641" w:type="dxa"/>
            <w:shd w:val="clear" w:color="auto" w:fill="0F4761" w:themeFill="accent1" w:themeFillShade="BF"/>
            <w:vAlign w:val="center"/>
          </w:tcPr>
          <w:p w14:paraId="00D9354F" w14:textId="3F184EB7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ZASADY OKREŚLANIA NIERUCHOMOŚCI ROLNYCH</w:t>
            </w:r>
          </w:p>
        </w:tc>
      </w:tr>
      <w:tr w:rsidR="00CF5578" w14:paraId="32B67E16" w14:textId="77777777" w:rsidTr="00CF5578">
        <w:trPr>
          <w:trHeight w:val="680"/>
        </w:trPr>
        <w:tc>
          <w:tcPr>
            <w:tcW w:w="9062" w:type="dxa"/>
            <w:gridSpan w:val="2"/>
            <w:vAlign w:val="center"/>
          </w:tcPr>
          <w:p w14:paraId="17625729" w14:textId="47AFE793" w:rsidR="00CF5578" w:rsidRPr="007E29A9" w:rsidRDefault="00CF5578" w:rsidP="00CF5578">
            <w:pPr>
              <w:rPr>
                <w:rFonts w:ascii="Arial" w:hAnsi="Arial" w:cs="Arial"/>
                <w:sz w:val="20"/>
                <w:szCs w:val="20"/>
              </w:rPr>
            </w:pPr>
            <w:r w:rsidRPr="00C16F9F">
              <w:rPr>
                <w:rFonts w:ascii="Arial" w:hAnsi="Arial" w:cs="Arial"/>
                <w:sz w:val="20"/>
                <w:szCs w:val="20"/>
              </w:rPr>
              <w:t>Sposoby określania wartości nieruchomości w zależności od ich rodzaju lub występujących uwarunkowań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7E29A9" w14:paraId="4F73A286" w14:textId="77777777" w:rsidTr="00CF5578">
        <w:trPr>
          <w:trHeight w:val="567"/>
        </w:trPr>
        <w:tc>
          <w:tcPr>
            <w:tcW w:w="421" w:type="dxa"/>
            <w:shd w:val="clear" w:color="auto" w:fill="0F4761" w:themeFill="accent1" w:themeFillShade="BF"/>
            <w:vAlign w:val="center"/>
          </w:tcPr>
          <w:p w14:paraId="48F3EB65" w14:textId="24C38D34" w:rsidR="007E29A9" w:rsidRDefault="007E29A9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641" w:type="dxa"/>
            <w:shd w:val="clear" w:color="auto" w:fill="0F4761" w:themeFill="accent1" w:themeFillShade="BF"/>
            <w:vAlign w:val="center"/>
          </w:tcPr>
          <w:p w14:paraId="509A6DD0" w14:textId="7BD2F85D" w:rsidR="007E29A9" w:rsidRDefault="00CF5578" w:rsidP="00CF5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PRZEMIANY STRUKTURALNE NA WSI I W ROLNICTWIE</w:t>
            </w:r>
          </w:p>
        </w:tc>
      </w:tr>
      <w:tr w:rsidR="00CF5578" w14:paraId="78C672EF" w14:textId="77777777" w:rsidTr="00FF16AE">
        <w:tc>
          <w:tcPr>
            <w:tcW w:w="9062" w:type="dxa"/>
            <w:gridSpan w:val="2"/>
          </w:tcPr>
          <w:p w14:paraId="68956252" w14:textId="7777777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 xml:space="preserve">ograniczenia w obrocie ziemią rolną, </w:t>
            </w:r>
          </w:p>
          <w:p w14:paraId="34478DB6" w14:textId="7777777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 xml:space="preserve">udział (%) pracujących ogółem w rolnictwie i w rolnictwie indywidualnym w Polsce, </w:t>
            </w:r>
          </w:p>
          <w:p w14:paraId="0D6B6485" w14:textId="7777777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>zmiany w liczbie i strukturze indywidualnych gospodarstw rolnych, powyżej 1 ha użytków rolnych według grup obszarowych,</w:t>
            </w:r>
          </w:p>
          <w:p w14:paraId="3DC614A8" w14:textId="7777777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 xml:space="preserve">zmiany powierzchni i struktury użytkowania ziemi rolniczej przez indywidualne gospodarstwa rolne powyżej 1 ha UR według grup obszarowych, </w:t>
            </w:r>
          </w:p>
          <w:p w14:paraId="52F4F0E6" w14:textId="7777777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 xml:space="preserve">transakcje sprzedaży ziemi w latach 2015–2023, </w:t>
            </w:r>
          </w:p>
          <w:p w14:paraId="072C4461" w14:textId="7777777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 xml:space="preserve">struktura (%) transakcji w rynkowym przenoszeniu praw własności ziemi rolniczej według podmiotów, </w:t>
            </w:r>
          </w:p>
          <w:p w14:paraId="317BE9EA" w14:textId="7777777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>relacje cen gruntów ornych różnej jakości, nierynkowy obrót ziemią rolniczą – liczba umów notarialnych według rodzajów,</w:t>
            </w:r>
          </w:p>
          <w:p w14:paraId="526B486E" w14:textId="54633DF7" w:rsidR="00CF5578" w:rsidRPr="00CF5578" w:rsidRDefault="00CF5578" w:rsidP="00CF557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578">
              <w:rPr>
                <w:rFonts w:ascii="Arial" w:hAnsi="Arial" w:cs="Arial"/>
                <w:sz w:val="20"/>
                <w:szCs w:val="20"/>
              </w:rPr>
              <w:t>inne.</w:t>
            </w:r>
          </w:p>
        </w:tc>
      </w:tr>
    </w:tbl>
    <w:p w14:paraId="11C2E843" w14:textId="77777777" w:rsidR="007E29A9" w:rsidRDefault="007E29A9" w:rsidP="007E29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E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1381"/>
    <w:multiLevelType w:val="hybridMultilevel"/>
    <w:tmpl w:val="ECEE06FA"/>
    <w:lvl w:ilvl="0" w:tplc="EC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498D"/>
    <w:multiLevelType w:val="hybridMultilevel"/>
    <w:tmpl w:val="B286373A"/>
    <w:lvl w:ilvl="0" w:tplc="EC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81358"/>
    <w:multiLevelType w:val="hybridMultilevel"/>
    <w:tmpl w:val="8FA6438E"/>
    <w:lvl w:ilvl="0" w:tplc="EC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EF6"/>
    <w:multiLevelType w:val="multilevel"/>
    <w:tmpl w:val="32DE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73C22"/>
    <w:multiLevelType w:val="hybridMultilevel"/>
    <w:tmpl w:val="6D3E5A18"/>
    <w:lvl w:ilvl="0" w:tplc="EC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25651">
    <w:abstractNumId w:val="2"/>
  </w:num>
  <w:num w:numId="2" w16cid:durableId="1543052851">
    <w:abstractNumId w:val="1"/>
  </w:num>
  <w:num w:numId="3" w16cid:durableId="1698463610">
    <w:abstractNumId w:val="4"/>
  </w:num>
  <w:num w:numId="4" w16cid:durableId="644504145">
    <w:abstractNumId w:val="0"/>
  </w:num>
  <w:num w:numId="5" w16cid:durableId="65203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A9"/>
    <w:rsid w:val="0002004F"/>
    <w:rsid w:val="00207175"/>
    <w:rsid w:val="00407159"/>
    <w:rsid w:val="00501D5E"/>
    <w:rsid w:val="00502508"/>
    <w:rsid w:val="005F4FAE"/>
    <w:rsid w:val="007E29A9"/>
    <w:rsid w:val="008D641E"/>
    <w:rsid w:val="0096044E"/>
    <w:rsid w:val="009638C1"/>
    <w:rsid w:val="00CF5578"/>
    <w:rsid w:val="00EB4168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CD24"/>
  <w15:chartTrackingRefBased/>
  <w15:docId w15:val="{95934DA5-5C2E-4FB2-9609-CFDA345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9A9"/>
  </w:style>
  <w:style w:type="paragraph" w:styleId="Nagwek1">
    <w:name w:val="heading 1"/>
    <w:basedOn w:val="Normalny"/>
    <w:next w:val="Normalny"/>
    <w:link w:val="Nagwek1Znak"/>
    <w:uiPriority w:val="9"/>
    <w:qFormat/>
    <w:rsid w:val="007E2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9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9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9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9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9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9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29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9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29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9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9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E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Szwech</dc:creator>
  <cp:keywords/>
  <dc:description/>
  <cp:lastModifiedBy>srm@srm.wroclaw.pl</cp:lastModifiedBy>
  <cp:revision>2</cp:revision>
  <dcterms:created xsi:type="dcterms:W3CDTF">2025-04-30T07:49:00Z</dcterms:created>
  <dcterms:modified xsi:type="dcterms:W3CDTF">2025-04-30T07:49:00Z</dcterms:modified>
</cp:coreProperties>
</file>