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D9A4" w14:textId="77777777" w:rsidR="00257976" w:rsidRPr="007C5EB7" w:rsidRDefault="00257976" w:rsidP="00257976">
      <w:pPr>
        <w:spacing w:after="0" w:line="240" w:lineRule="auto"/>
        <w:rPr>
          <w:rFonts w:ascii="Times New Roman" w:eastAsia="STZhongsong" w:hAnsi="Times New Roman" w:cs="Times New Roman"/>
        </w:rPr>
      </w:pPr>
      <w:r w:rsidRPr="007C5EB7">
        <w:rPr>
          <w:rFonts w:ascii="Times New Roman" w:eastAsia="STZhongsong" w:hAnsi="Times New Roman" w:cs="Times New Roman"/>
          <w:u w:val="single"/>
        </w:rPr>
        <w:t>Program szkolenia</w:t>
      </w:r>
      <w:r w:rsidRPr="007C5EB7">
        <w:rPr>
          <w:rFonts w:ascii="Times New Roman" w:eastAsia="STZhongsong" w:hAnsi="Times New Roman" w:cs="Times New Roman"/>
        </w:rPr>
        <w:t>:</w:t>
      </w:r>
    </w:p>
    <w:p w14:paraId="48F03FF2" w14:textId="77777777" w:rsidR="00257976" w:rsidRPr="007C5EB7" w:rsidRDefault="00257976" w:rsidP="00257976">
      <w:pPr>
        <w:spacing w:after="0" w:line="240" w:lineRule="auto"/>
        <w:rPr>
          <w:rFonts w:ascii="Times New Roman" w:eastAsia="STZhongsong" w:hAnsi="Times New Roman" w:cs="Times New Roman"/>
        </w:rPr>
      </w:pPr>
    </w:p>
    <w:p w14:paraId="43D1F8D0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>Rzeczoznawca majątkowy jako biegły w postępowaniu cywilnym – wprowadzenie</w:t>
      </w:r>
    </w:p>
    <w:p w14:paraId="69430B7E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>Nowelizacje k.p.c. z 2023 r.– uwagi ogólne</w:t>
      </w:r>
    </w:p>
    <w:p w14:paraId="4C1CC900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  <w:kern w:val="24"/>
        </w:rPr>
        <w:t xml:space="preserve">Rozporządzenie Ministra Rozwoju i Technologii z dnia 5 września 2023 r. w sprawie wyceny nieruchomości (Dz. U. z 2023 r. poz. 1832) jako nowa podstawa prawna wyceny </w:t>
      </w:r>
      <w:r w:rsidRPr="007C5EB7">
        <w:rPr>
          <w:rFonts w:ascii="Times New Roman" w:eastAsia="STZhongsong" w:hAnsi="Times New Roman" w:cs="Times New Roman"/>
          <w:color w:val="000000" w:themeColor="text1"/>
        </w:rPr>
        <w:t xml:space="preserve">                                                    </w:t>
      </w:r>
    </w:p>
    <w:p w14:paraId="0757D1E1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 xml:space="preserve">Wiadomości specjalne jako podstawa dopuszczenia dowodu z </w:t>
      </w:r>
      <w:proofErr w:type="gramStart"/>
      <w:r w:rsidRPr="007C5EB7">
        <w:rPr>
          <w:rFonts w:ascii="Times New Roman" w:eastAsia="STZhongsong" w:hAnsi="Times New Roman" w:cs="Times New Roman"/>
          <w:color w:val="000000" w:themeColor="text1"/>
        </w:rPr>
        <w:t>opinii  biegłego</w:t>
      </w:r>
      <w:proofErr w:type="gramEnd"/>
      <w:r w:rsidRPr="007C5EB7">
        <w:rPr>
          <w:rFonts w:ascii="Times New Roman" w:eastAsia="STZhongsong" w:hAnsi="Times New Roman" w:cs="Times New Roman"/>
          <w:color w:val="000000" w:themeColor="text1"/>
        </w:rPr>
        <w:t>. Dopuszczenie dowodu z opinii biegłego - na wniosek lub z urzędu.</w:t>
      </w:r>
    </w:p>
    <w:p w14:paraId="4F1B6626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 xml:space="preserve">Opinia biegłego a tzw. opinie prywatne. Rodzaje biegłych. Świadek-biegły. </w:t>
      </w:r>
    </w:p>
    <w:p w14:paraId="692AAF98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 xml:space="preserve">Obowiązek posiadania konta w portalu informacyjnym </w:t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  <w:t xml:space="preserve">           </w:t>
      </w:r>
    </w:p>
    <w:p w14:paraId="259F5AB9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 xml:space="preserve">Charakter opinii biegłego w postępowaniu cywilnym. Opinia biegłego (pojęcie                            i elementy opinii). Dodatkowa opinia biegłego. Opinia łączna. Opinia instytutu </w:t>
      </w:r>
    </w:p>
    <w:p w14:paraId="6D683263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 xml:space="preserve">Treść wniosku dowodowego </w:t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  <w:t>(po nowelizacji)</w:t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</w:p>
    <w:p w14:paraId="5161EF3C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>Postanowienie o dopuszczeniu dowodu z opinii biegłego. Możliwość zmiany postanowienia dowodowego. Wyznaczenie osoby biegłego. Wyłączenie biegłego</w:t>
      </w:r>
    </w:p>
    <w:p w14:paraId="3523A099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>Wymogi formalne opinii</w:t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  <w:t xml:space="preserve">    </w:t>
      </w:r>
    </w:p>
    <w:p w14:paraId="32D4D238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>Termin sporządzenia opinii. Możliwość przedłużenia terminu przez sąd. Skutki sporządzenia opinii po terminie</w:t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</w:p>
    <w:p w14:paraId="29917082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 xml:space="preserve">Opinia uzupełniająca. Zasady wynagradzania za opinię uzupełniającą                               </w:t>
      </w:r>
    </w:p>
    <w:p w14:paraId="4B95ED9D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>Udział biegłego w posiedzeniach sądowych. Nowe przepisy o rozprawach zdalnych.</w:t>
      </w:r>
    </w:p>
    <w:p w14:paraId="51C97753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 xml:space="preserve"> Udział biegłego w oględzinach i innych czynnościach dowodowych. Wezwanie i wyjaśnienia biegłego</w:t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  <w:t xml:space="preserve"> </w:t>
      </w:r>
    </w:p>
    <w:p w14:paraId="38F39C72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>Ocena dowodu z opinii. Kryteria oceny (na tle wybranych orzeczeń)</w:t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  <w:t xml:space="preserve">          </w:t>
      </w:r>
    </w:p>
    <w:p w14:paraId="74C58D77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 xml:space="preserve">Zasady przyznawania biegłemu wynagrodzenia. Zmiany w zakresie uzasadniania orzeczeń o przyznaniu wynagrodzenia biegłemu. </w:t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  <w:t xml:space="preserve">            </w:t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</w:p>
    <w:p w14:paraId="59D0F614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 xml:space="preserve">Udział biegłego w postępowaniu sądowym związanym z przyznaniem wynagrodzenia           </w:t>
      </w:r>
    </w:p>
    <w:p w14:paraId="407D542D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>Biegły rzeczoznawca majątkowy w sprawach o zachowek i tzw. sprawach działowych (zniesienie współwłasności nieruchomości, dział spadku, podział majątku wspólnego) – wybrane zagadnienia</w:t>
      </w:r>
    </w:p>
    <w:p w14:paraId="2313264E" w14:textId="77777777" w:rsidR="00257976" w:rsidRPr="007C5EB7" w:rsidRDefault="00257976" w:rsidP="0025797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STZhongsong" w:hAnsi="Times New Roman" w:cs="Times New Roman"/>
          <w:color w:val="000000" w:themeColor="text1"/>
        </w:rPr>
      </w:pPr>
      <w:r w:rsidRPr="007C5EB7">
        <w:rPr>
          <w:rFonts w:ascii="Times New Roman" w:eastAsia="STZhongsong" w:hAnsi="Times New Roman" w:cs="Times New Roman"/>
          <w:color w:val="000000" w:themeColor="text1"/>
        </w:rPr>
        <w:t>Przykładowe schematy operatów szacunkowych sporządzanych w sprawach o zachowek i sprawach tzw. działowych.</w:t>
      </w:r>
      <w:r w:rsidRPr="007C5EB7">
        <w:rPr>
          <w:rFonts w:ascii="Times New Roman" w:eastAsia="STZhongsong" w:hAnsi="Times New Roman" w:cs="Times New Roman"/>
          <w:color w:val="000000" w:themeColor="text1"/>
        </w:rPr>
        <w:tab/>
      </w:r>
    </w:p>
    <w:p w14:paraId="30B13DA7" w14:textId="77777777" w:rsidR="00257976" w:rsidRPr="007C5EB7" w:rsidRDefault="00257976" w:rsidP="00257976">
      <w:pPr>
        <w:spacing w:after="0" w:line="240" w:lineRule="auto"/>
        <w:jc w:val="both"/>
        <w:rPr>
          <w:rFonts w:ascii="Times New Roman" w:eastAsia="STZhongsong" w:hAnsi="Times New Roman" w:cs="Times New Roman"/>
          <w:color w:val="000000" w:themeColor="text1"/>
        </w:rPr>
      </w:pPr>
    </w:p>
    <w:p w14:paraId="5F4A7016" w14:textId="77777777" w:rsidR="00257976" w:rsidRDefault="00257976"/>
    <w:sectPr w:rsidR="0025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A51E9"/>
    <w:multiLevelType w:val="hybridMultilevel"/>
    <w:tmpl w:val="99A6FEB2"/>
    <w:lvl w:ilvl="0" w:tplc="0415000F">
      <w:start w:val="1"/>
      <w:numFmt w:val="decimal"/>
      <w:lvlText w:val="%1."/>
      <w:lvlJc w:val="left"/>
      <w:pPr>
        <w:ind w:left="-1116" w:hanging="360"/>
      </w:pPr>
    </w:lvl>
    <w:lvl w:ilvl="1" w:tplc="04150019">
      <w:start w:val="1"/>
      <w:numFmt w:val="lowerLetter"/>
      <w:lvlText w:val="%2."/>
      <w:lvlJc w:val="left"/>
      <w:pPr>
        <w:ind w:left="-396" w:hanging="360"/>
      </w:pPr>
    </w:lvl>
    <w:lvl w:ilvl="2" w:tplc="0415001B">
      <w:start w:val="1"/>
      <w:numFmt w:val="lowerRoman"/>
      <w:lvlText w:val="%3."/>
      <w:lvlJc w:val="right"/>
      <w:pPr>
        <w:ind w:left="324" w:hanging="180"/>
      </w:pPr>
    </w:lvl>
    <w:lvl w:ilvl="3" w:tplc="0415000F">
      <w:start w:val="1"/>
      <w:numFmt w:val="decimal"/>
      <w:lvlText w:val="%4."/>
      <w:lvlJc w:val="left"/>
      <w:pPr>
        <w:ind w:left="1044" w:hanging="360"/>
      </w:pPr>
    </w:lvl>
    <w:lvl w:ilvl="4" w:tplc="04150019">
      <w:start w:val="1"/>
      <w:numFmt w:val="lowerLetter"/>
      <w:lvlText w:val="%5."/>
      <w:lvlJc w:val="left"/>
      <w:pPr>
        <w:ind w:left="1764" w:hanging="360"/>
      </w:pPr>
    </w:lvl>
    <w:lvl w:ilvl="5" w:tplc="0415001B">
      <w:start w:val="1"/>
      <w:numFmt w:val="lowerRoman"/>
      <w:lvlText w:val="%6."/>
      <w:lvlJc w:val="right"/>
      <w:pPr>
        <w:ind w:left="2484" w:hanging="180"/>
      </w:pPr>
    </w:lvl>
    <w:lvl w:ilvl="6" w:tplc="0415000F">
      <w:start w:val="1"/>
      <w:numFmt w:val="decimal"/>
      <w:lvlText w:val="%7."/>
      <w:lvlJc w:val="left"/>
      <w:pPr>
        <w:ind w:left="3204" w:hanging="360"/>
      </w:pPr>
    </w:lvl>
    <w:lvl w:ilvl="7" w:tplc="04150019">
      <w:start w:val="1"/>
      <w:numFmt w:val="lowerLetter"/>
      <w:lvlText w:val="%8."/>
      <w:lvlJc w:val="left"/>
      <w:pPr>
        <w:ind w:left="3924" w:hanging="360"/>
      </w:pPr>
    </w:lvl>
    <w:lvl w:ilvl="8" w:tplc="0415001B">
      <w:start w:val="1"/>
      <w:numFmt w:val="lowerRoman"/>
      <w:lvlText w:val="%9."/>
      <w:lvlJc w:val="right"/>
      <w:pPr>
        <w:ind w:left="4644" w:hanging="180"/>
      </w:pPr>
    </w:lvl>
  </w:abstractNum>
  <w:num w:numId="1" w16cid:durableId="1361666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76"/>
    <w:rsid w:val="002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1F16"/>
  <w15:chartTrackingRefBased/>
  <w15:docId w15:val="{E58ADB7F-61FE-4790-B8E0-BBAA13A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976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mkreda@wp.pl</dc:creator>
  <cp:keywords/>
  <dc:description/>
  <cp:lastModifiedBy>mkreda@wp.pl</cp:lastModifiedBy>
  <cp:revision>1</cp:revision>
  <dcterms:created xsi:type="dcterms:W3CDTF">2023-09-27T12:25:00Z</dcterms:created>
  <dcterms:modified xsi:type="dcterms:W3CDTF">2023-09-27T12:25:00Z</dcterms:modified>
</cp:coreProperties>
</file>