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Program szkolenia:</w:t>
      </w:r>
    </w:p>
    <w:p w:rsidR="00816F62" w:rsidRDefault="00816F62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</w:p>
    <w:p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   9.00 – 10.30   Warsztat 2 godziny edukacyjne (Monika Drobyszewska)</w:t>
      </w:r>
    </w:p>
    <w:p w:rsidR="00816F62" w:rsidRPr="00816F62" w:rsidRDefault="00816F62" w:rsidP="0081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10.30 – 10.45   przerwa kawowa  - 15 min.</w:t>
      </w:r>
    </w:p>
    <w:p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10.45 – 12.15   Warsztat 2 godziny edukacyjne (Monika Drobyszewska)</w:t>
      </w:r>
    </w:p>
    <w:p w:rsidR="00816F62" w:rsidRPr="00816F62" w:rsidRDefault="00816F62" w:rsidP="0081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12.15 – 12.30   przerwa kawowa  - 15 min.</w:t>
      </w:r>
    </w:p>
    <w:p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12.30 – 14.00  Warsztat 2 godziny edukacyjne  (Leszek Saleta)</w:t>
      </w:r>
    </w:p>
    <w:p w:rsidR="00816F62" w:rsidRPr="00816F62" w:rsidRDefault="00816F62" w:rsidP="00816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14.00 – 15.00   przerwa obiadowa -  1 godz.</w:t>
      </w:r>
    </w:p>
    <w:p w:rsidR="00816F62" w:rsidRPr="00816F62" w:rsidRDefault="00816F62" w:rsidP="0081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4.        </w:t>
      </w:r>
      <w:r w:rsidRPr="00816F6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15.00 – 16.30 Warsztat 2 godziny edukacyjne (Leszek Saleta)</w:t>
      </w:r>
    </w:p>
    <w:p w:rsidR="00816F62" w:rsidRDefault="00816F62" w:rsidP="0091457A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</w:p>
    <w:p w:rsidR="0091457A" w:rsidRDefault="0091457A" w:rsidP="0091457A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Program ramowy warsztatów:</w:t>
      </w:r>
    </w:p>
    <w:p w:rsidR="0091457A" w:rsidRDefault="0091457A" w:rsidP="0091457A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Badanie przydatności dowodowej operatu szacunkowego - 4 godziny</w:t>
      </w:r>
    </w:p>
    <w:p w:rsidR="0091457A" w:rsidRDefault="0091457A" w:rsidP="0091457A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Monika Drobyszewska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Omówieni</w:t>
      </w:r>
      <w:bookmarkStart w:id="0" w:name="_GoBack"/>
      <w:bookmarkEnd w:id="0"/>
      <w:r>
        <w:rPr>
          <w:rFonts w:cs="Times New Roman"/>
        </w:rPr>
        <w:t xml:space="preserve">e i opracowanie przykładowego zamówienia na wycenę nieruchomości (przedmiot, zakres i cel wyceny).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Dowód z opinii biegłego a prywatna ekspertyza w postępowaniu sądowym i administracyjnym.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Poprawa, uzupełnienie, aneks do operatu szacunkowego.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Weryfikacja przydatności dowodowej operatów szacunkowych w systemie warsztatowym.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Omówienie i wskazanie granic weryfikacji operatu szacunkowego w postępowaniu dowodowym i sfery wiadomości specjalnych rzeczoznawcy majątkowego, na podstawie przygotowanych kazusów.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Opracowanie modelu klauzuli aktualizacyjnej po nowelizacji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Przesłanki oceny prawidłowości operatu szacunkowego w trybie art. 157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przez organizację zawodową. </w:t>
      </w:r>
    </w:p>
    <w:p w:rsidR="0091457A" w:rsidRDefault="0091457A" w:rsidP="0091457A">
      <w:pPr>
        <w:pStyle w:val="NormalnyWeb"/>
        <w:spacing w:before="0" w:beforeAutospacing="0" w:after="120" w:afterAutospacing="0"/>
        <w:jc w:val="both"/>
        <w:rPr>
          <w:rFonts w:cs="Times New Roman"/>
        </w:rPr>
      </w:pPr>
    </w:p>
    <w:p w:rsidR="0091457A" w:rsidRDefault="0091457A" w:rsidP="0091457A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Ocena prawidłowości sporządzenia operatów szacunkowych w świetle doświadczeń komisji  oceniających (</w:t>
      </w:r>
      <w:proofErr w:type="spellStart"/>
      <w:r>
        <w:rPr>
          <w:rFonts w:cs="Times New Roman"/>
          <w:b/>
          <w:bCs/>
        </w:rPr>
        <w:t>KAiOW</w:t>
      </w:r>
      <w:proofErr w:type="spellEnd"/>
      <w:r>
        <w:rPr>
          <w:rFonts w:cs="Times New Roman"/>
          <w:b/>
          <w:bCs/>
        </w:rPr>
        <w:t xml:space="preserve"> przy SRM e Wrocławiu i KA przy PFSRM) - 4 godziny</w:t>
      </w:r>
    </w:p>
    <w:p w:rsidR="0091457A" w:rsidRDefault="0091457A" w:rsidP="0091457A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</w:rPr>
      </w:pPr>
      <w:r>
        <w:rPr>
          <w:rFonts w:cs="Times New Roman"/>
          <w:b/>
          <w:bCs/>
        </w:rPr>
        <w:t>Leszek Saleta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Różnica pomiędzy KOZ a KO.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Regulamin działania </w:t>
      </w:r>
      <w:proofErr w:type="spellStart"/>
      <w:r>
        <w:rPr>
          <w:rFonts w:cs="Times New Roman"/>
        </w:rPr>
        <w:t>KAiOW</w:t>
      </w:r>
      <w:proofErr w:type="spellEnd"/>
      <w:r>
        <w:rPr>
          <w:rFonts w:cs="Times New Roman"/>
        </w:rPr>
        <w:t xml:space="preserve"> SRM we Wrocławiu i KA PFSRM.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Zestawienie błędów popełnianych przy sporządzaniu operatów szacunkowych zebrane przez KA w 2015 r.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Zestawienie błędów popełnianych przy sporządzaniu operatów szacunkowych zebrane przez </w:t>
      </w:r>
      <w:proofErr w:type="spellStart"/>
      <w:r>
        <w:rPr>
          <w:rFonts w:cs="Times New Roman"/>
        </w:rPr>
        <w:t>KAiOW</w:t>
      </w:r>
      <w:proofErr w:type="spellEnd"/>
      <w:r>
        <w:rPr>
          <w:rFonts w:cs="Times New Roman"/>
        </w:rPr>
        <w:t xml:space="preserve"> w okresie od lipca 2015 do maja 2019 r.</w:t>
      </w:r>
    </w:p>
    <w:p w:rsidR="0091457A" w:rsidRDefault="0091457A" w:rsidP="0091457A">
      <w:pPr>
        <w:pStyle w:val="NormalnyWeb"/>
        <w:numPr>
          <w:ilvl w:val="0"/>
          <w:numId w:val="1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Przykłady operatów i ich ocen  - w tej części prezentowane będą zanonimizowane fragmenty operatów, a uczestnicy warsztatów będą się wypowiadać na temat ich prawidłowości. Oceny te zostaną porównane z ocenami zespołów oceniających.</w:t>
      </w:r>
    </w:p>
    <w:p w:rsidR="0091457A" w:rsidRDefault="0091457A" w:rsidP="0091457A">
      <w:pPr>
        <w:pStyle w:val="NormalnyWeb"/>
        <w:spacing w:before="0" w:beforeAutospacing="0" w:after="0" w:afterAutospacing="0"/>
        <w:ind w:left="708"/>
        <w:jc w:val="both"/>
        <w:rPr>
          <w:rFonts w:cs="Times New Roman"/>
        </w:rPr>
      </w:pPr>
    </w:p>
    <w:p w:rsidR="00485BC0" w:rsidRDefault="00485BC0"/>
    <w:sectPr w:rsidR="00485BC0" w:rsidSect="00D3645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AE2"/>
    <w:multiLevelType w:val="hybridMultilevel"/>
    <w:tmpl w:val="5F5E02F2"/>
    <w:lvl w:ilvl="0" w:tplc="04150013">
      <w:start w:val="1"/>
      <w:numFmt w:val="upperRoman"/>
      <w:lvlText w:val="%1."/>
      <w:lvlJc w:val="right"/>
      <w:pPr>
        <w:ind w:left="900" w:hanging="18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/>
      </w:rPr>
    </w:lvl>
  </w:abstractNum>
  <w:abstractNum w:abstractNumId="1">
    <w:nsid w:val="7A9A2D8E"/>
    <w:multiLevelType w:val="hybridMultilevel"/>
    <w:tmpl w:val="CC964A6A"/>
    <w:lvl w:ilvl="0" w:tplc="198696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A"/>
    <w:rsid w:val="00485BC0"/>
    <w:rsid w:val="00645894"/>
    <w:rsid w:val="00816F62"/>
    <w:rsid w:val="009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45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2019-09-12T08:03:00Z</dcterms:created>
  <dcterms:modified xsi:type="dcterms:W3CDTF">2019-09-12T08:03:00Z</dcterms:modified>
</cp:coreProperties>
</file>